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spacing w:line="1380" w:lineRule="exact"/>
        <w:jc w:val="center"/>
        <w:rPr>
          <w:rFonts w:ascii="方正小标宋_GBK" w:hAnsi="方正小标宋简体" w:eastAsia="方正小标宋_GBK"/>
          <w:bCs/>
          <w:color w:val="FF0000"/>
          <w:w w:val="55"/>
          <w:sz w:val="130"/>
          <w:szCs w:val="130"/>
        </w:rPr>
      </w:pPr>
      <w:r>
        <w:rPr>
          <w:rFonts w:hint="eastAsia" w:ascii="方正小标宋_GBK" w:hAnsi="方正小标宋简体" w:eastAsia="方正小标宋_GBK"/>
          <w:bCs/>
          <w:color w:val="FF0000"/>
          <w:w w:val="55"/>
          <w:sz w:val="130"/>
          <w:szCs w:val="130"/>
        </w:rPr>
        <w:t>青岛市黄岛区人民法院文件</w:t>
      </w:r>
    </w:p>
    <w:p>
      <w:pPr>
        <w:spacing w:line="520" w:lineRule="exact"/>
        <w:ind w:firstLine="640"/>
        <w:jc w:val="center"/>
        <w:rPr>
          <w:rFonts w:ascii="仿宋_GB2312"/>
          <w:szCs w:val="32"/>
        </w:rPr>
      </w:pPr>
    </w:p>
    <w:p>
      <w:pPr>
        <w:spacing w:line="520" w:lineRule="exact"/>
        <w:ind w:firstLine="640"/>
        <w:jc w:val="center"/>
        <w:rPr>
          <w:rFonts w:ascii="仿宋_GB2312"/>
          <w:szCs w:val="32"/>
        </w:rPr>
      </w:pPr>
    </w:p>
    <w:p>
      <w:pPr>
        <w:jc w:val="center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青黄法发〔2021〕57号</w:t>
      </w:r>
    </w:p>
    <w:p>
      <w:pPr>
        <w:spacing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Times New Roman"/>
          <w:sz w:val="36"/>
          <w:szCs w:val="36"/>
          <w:lang w:val="en-US" w:eastAsia="zh-CN" w:bidi="ar-SA"/>
        </w:rPr>
        <w:pict>
          <v:shape id="Straight Connector 2" o:spid="_x0000_s1026" type="#_x0000_t32" style="position:absolute;left:0;margin-left:2.8pt;margin-top:8.5pt;height:0.05pt;width:436.8pt;rotation:0f;z-index:251658240;" o:ole="f" fillcolor="#FFFFFF" filled="t" o:preferrelative="t" stroked="t" coordorigin="0,0" coordsize="21600,21600">
            <v:stroke weight="1.5pt" color="#FF0000" color2="#FFFFFF" joinstyle="round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spacing w:line="440" w:lineRule="exact"/>
        <w:jc w:val="center"/>
        <w:rPr>
          <w:color w:val="FF0000"/>
          <w:u w:val="thick"/>
        </w:rPr>
      </w:pPr>
    </w:p>
    <w:p>
      <w:pPr>
        <w:spacing w:line="560" w:lineRule="exact"/>
        <w:jc w:val="center"/>
        <w:rPr>
          <w:rFonts w:ascii="方正小标宋_GBK" w:hAnsi="黑体" w:eastAsia="方正小标宋_GBK" w:cs="黑体"/>
          <w:color w:val="FF0000"/>
          <w:sz w:val="44"/>
          <w:szCs w:val="44"/>
          <w:u w:val="thick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青岛市黄岛区人民法院</w:t>
      </w:r>
    </w:p>
    <w:p>
      <w:pPr>
        <w:spacing w:line="560" w:lineRule="exact"/>
        <w:jc w:val="center"/>
        <w:rPr>
          <w:rFonts w:ascii="方正小标宋_GBK" w:hAnsi="黑体" w:eastAsia="方正小标宋_GBK" w:cs="黑体"/>
          <w:bCs/>
          <w:sz w:val="44"/>
          <w:szCs w:val="44"/>
        </w:rPr>
      </w:pPr>
      <w:r>
        <w:rPr>
          <w:rFonts w:hint="eastAsia" w:ascii="方正小标宋_GBK" w:hAnsi="黑体" w:eastAsia="方正小标宋_GBK" w:cs="黑体"/>
          <w:bCs/>
          <w:sz w:val="44"/>
          <w:szCs w:val="44"/>
        </w:rPr>
        <w:t>关于印发青岛市黄岛区人民法院《破产案件管理人考核办法（试行）》的通知</w:t>
      </w:r>
    </w:p>
    <w:p>
      <w:pPr>
        <w:spacing w:line="560" w:lineRule="exact"/>
        <w:rPr>
          <w:rFonts w:ascii="仿宋" w:hAnsi="仿宋" w:eastAsia="仿宋" w:cs="仿宋"/>
          <w:bCs/>
          <w:szCs w:val="32"/>
        </w:rPr>
      </w:pPr>
    </w:p>
    <w:p>
      <w:pPr>
        <w:spacing w:line="560" w:lineRule="exact"/>
        <w:rPr>
          <w:rFonts w:ascii="仿宋_GB2312" w:hAnsi="仿宋" w:cs="仿宋"/>
          <w:bCs/>
          <w:szCs w:val="32"/>
        </w:rPr>
      </w:pPr>
      <w:r>
        <w:rPr>
          <w:rFonts w:hint="eastAsia" w:ascii="仿宋_GB2312" w:hAnsi="仿宋" w:cs="仿宋"/>
          <w:bCs/>
          <w:szCs w:val="32"/>
        </w:rPr>
        <w:t>各部门：</w:t>
      </w:r>
    </w:p>
    <w:p>
      <w:pPr>
        <w:spacing w:line="560" w:lineRule="exact"/>
        <w:ind w:firstLine="632" w:firstLineChars="200"/>
        <w:jc w:val="left"/>
        <w:rPr>
          <w:rFonts w:ascii="仿宋_GB2312" w:hAnsi="宋体" w:cs="宋体"/>
          <w:bCs/>
          <w:szCs w:val="32"/>
        </w:rPr>
      </w:pPr>
      <w:r>
        <w:rPr>
          <w:rFonts w:hint="eastAsia" w:ascii="仿宋_GB2312" w:hAnsi="仿宋" w:cs="仿宋"/>
          <w:bCs/>
          <w:szCs w:val="32"/>
        </w:rPr>
        <w:t>《青岛市黄岛区人民法院破产案件管理人考核办法（试行）》已经青岛市黄岛区人民法院审判委员会全体会议2021年第18次会议讨论通过，现予以印发，自2021年10月23日起施行。</w:t>
      </w:r>
    </w:p>
    <w:p>
      <w:pPr>
        <w:spacing w:line="560" w:lineRule="exact"/>
        <w:ind w:firstLine="875" w:firstLineChars="200"/>
        <w:jc w:val="center"/>
        <w:rPr>
          <w:rFonts w:ascii="仿宋_GB2312" w:hAnsi="宋体" w:cs="宋体"/>
          <w:b/>
          <w:sz w:val="44"/>
        </w:rPr>
      </w:pPr>
    </w:p>
    <w:p>
      <w:pPr>
        <w:spacing w:line="560" w:lineRule="exact"/>
        <w:ind w:firstLine="875" w:firstLineChars="200"/>
        <w:jc w:val="center"/>
        <w:rPr>
          <w:rFonts w:ascii="仿宋_GB2312" w:hAnsi="宋体" w:cs="宋体"/>
          <w:b/>
          <w:sz w:val="44"/>
        </w:rPr>
      </w:pPr>
    </w:p>
    <w:p>
      <w:pPr>
        <w:spacing w:line="560" w:lineRule="exact"/>
        <w:ind w:right="316"/>
        <w:jc w:val="right"/>
        <w:rPr>
          <w:rFonts w:ascii="仿宋_GB2312" w:hAnsi="宋体" w:cs="宋体"/>
          <w:szCs w:val="32"/>
        </w:rPr>
      </w:pPr>
      <w:r>
        <w:rPr>
          <w:rFonts w:hint="eastAsia" w:ascii="仿宋_GB2312" w:hAnsi="宋体" w:cs="宋体"/>
          <w:szCs w:val="32"/>
        </w:rPr>
        <w:t xml:space="preserve">青岛市黄岛区人民法院                   </w:t>
      </w:r>
    </w:p>
    <w:p>
      <w:pPr>
        <w:spacing w:line="560" w:lineRule="exact"/>
        <w:ind w:right="632"/>
        <w:jc w:val="right"/>
        <w:rPr>
          <w:rFonts w:ascii="仿宋_GB2312" w:hAnsi="仿宋" w:cs="仿宋"/>
          <w:bCs/>
          <w:szCs w:val="32"/>
        </w:rPr>
      </w:pPr>
      <w:r>
        <w:rPr>
          <w:rFonts w:hint="eastAsia" w:ascii="仿宋_GB2312" w:hAnsi="仿宋" w:cs="仿宋"/>
          <w:bCs/>
          <w:szCs w:val="32"/>
        </w:rPr>
        <w:t>2021年10月23日</w:t>
      </w:r>
    </w:p>
    <w:p>
      <w:pPr>
        <w:spacing w:line="560" w:lineRule="exact"/>
        <w:ind w:right="632"/>
        <w:jc w:val="right"/>
        <w:rPr>
          <w:rFonts w:ascii="仿宋_GB2312" w:hAnsi="仿宋" w:cs="仿宋"/>
          <w:bCs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680" w:lineRule="exact"/>
        <w:jc w:val="center"/>
        <w:rPr>
          <w:rFonts w:ascii="方正小标宋_GBK" w:hAnsi="宋体" w:eastAsia="方正小标宋_GBK" w:cs="Calibri"/>
          <w:kern w:val="2"/>
          <w:sz w:val="44"/>
          <w:szCs w:val="44"/>
        </w:rPr>
      </w:pPr>
      <w:r>
        <w:rPr>
          <w:rFonts w:hint="eastAsia" w:ascii="方正小标宋_GBK" w:hAnsi="宋体" w:eastAsia="方正小标宋_GBK" w:cs="Calibri"/>
          <w:kern w:val="2"/>
          <w:sz w:val="44"/>
          <w:szCs w:val="44"/>
        </w:rPr>
        <w:t>青岛市黄岛区人民法院</w:t>
      </w:r>
    </w:p>
    <w:p>
      <w:pPr>
        <w:spacing w:line="680" w:lineRule="exact"/>
        <w:jc w:val="center"/>
        <w:rPr>
          <w:rFonts w:ascii="方正小标宋_GBK" w:hAnsi="宋体" w:eastAsia="方正小标宋_GBK" w:cs="Calibri"/>
          <w:kern w:val="2"/>
          <w:sz w:val="44"/>
          <w:szCs w:val="44"/>
        </w:rPr>
      </w:pPr>
      <w:r>
        <w:rPr>
          <w:rFonts w:hint="eastAsia" w:ascii="方正小标宋_GBK" w:hAnsi="宋体" w:eastAsia="方正小标宋_GBK" w:cs="Calibri"/>
          <w:kern w:val="2"/>
          <w:sz w:val="44"/>
          <w:szCs w:val="44"/>
        </w:rPr>
        <w:t>破产案件管理人考核办法（试行）</w:t>
      </w:r>
    </w:p>
    <w:p>
      <w:pPr>
        <w:spacing w:line="680" w:lineRule="exact"/>
        <w:jc w:val="center"/>
        <w:rPr>
          <w:rFonts w:ascii="方正小标宋_GBK" w:hAnsi="宋体" w:eastAsia="方正小标宋_GBK" w:cs="Calibri"/>
          <w:kern w:val="2"/>
          <w:sz w:val="44"/>
          <w:szCs w:val="44"/>
        </w:rPr>
      </w:pP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为加强对管理人的科学管理，激励管理人工作勤勉尽责，结合本院破产审判工作实际，制定本办法。</w:t>
      </w:r>
    </w:p>
    <w:p>
      <w:pPr>
        <w:spacing w:line="560" w:lineRule="exact"/>
        <w:ind w:firstLine="64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宋体" w:cs="宋体"/>
          <w:b/>
          <w:bCs/>
          <w:kern w:val="2"/>
          <w:szCs w:val="32"/>
        </w:rPr>
        <w:t>第一</w:t>
      </w:r>
      <w:r>
        <w:rPr>
          <w:rFonts w:hint="eastAsia" w:ascii="仿宋_GB2312" w:hAnsi="仿宋" w:cs="仿宋"/>
          <w:b/>
          <w:kern w:val="2"/>
          <w:szCs w:val="32"/>
        </w:rPr>
        <w:t>条</w:t>
      </w:r>
      <w:r>
        <w:rPr>
          <w:rFonts w:hint="eastAsia" w:ascii="仿宋_GB2312" w:hAnsi="仿宋" w:cs="仿宋"/>
          <w:kern w:val="2"/>
          <w:szCs w:val="32"/>
        </w:rPr>
        <w:t xml:space="preserve"> 在本院审理的破产案件中担任管理人的，根据本办法进行考核。</w:t>
      </w:r>
    </w:p>
    <w:p>
      <w:pPr>
        <w:spacing w:line="560" w:lineRule="exact"/>
        <w:ind w:firstLine="64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>第二条</w:t>
      </w:r>
      <w:r>
        <w:rPr>
          <w:rFonts w:hint="eastAsia" w:ascii="仿宋_GB2312" w:hAnsi="仿宋" w:cs="仿宋"/>
          <w:kern w:val="2"/>
          <w:szCs w:val="32"/>
        </w:rPr>
        <w:t xml:space="preserve"> 本院设立管理人考核小组（考核小组成员详见附件1），</w:t>
      </w:r>
      <w:r>
        <w:rPr>
          <w:rFonts w:hint="eastAsia" w:ascii="仿宋_GB2312" w:hAnsi="Calibri" w:cs="黑体"/>
          <w:kern w:val="2"/>
          <w:szCs w:val="32"/>
        </w:rPr>
        <w:t>考核小组负责组织管理人考核工作，评定管理人考核结果。</w:t>
      </w:r>
    </w:p>
    <w:p>
      <w:pPr>
        <w:spacing w:line="560" w:lineRule="exact"/>
        <w:ind w:firstLine="640"/>
        <w:rPr>
          <w:rFonts w:ascii="仿宋_GB2312" w:hAnsi="Calibri" w:cs="黑体"/>
          <w:kern w:val="2"/>
          <w:szCs w:val="32"/>
        </w:rPr>
      </w:pPr>
      <w:r>
        <w:rPr>
          <w:rFonts w:hint="eastAsia" w:ascii="仿宋_GB2312" w:hAnsi="Calibri" w:cs="黑体"/>
          <w:b/>
          <w:kern w:val="2"/>
          <w:szCs w:val="32"/>
        </w:rPr>
        <w:t>第三条</w:t>
      </w:r>
      <w:r>
        <w:rPr>
          <w:rFonts w:hint="eastAsia" w:ascii="仿宋_GB2312" w:hAnsi="Calibri" w:cs="黑体"/>
          <w:kern w:val="2"/>
          <w:szCs w:val="32"/>
        </w:rPr>
        <w:t xml:space="preserve"> 考核小组由分管破产审判的院领导、破产审判合议庭法官、司法技术委托中心人员组成，人数不低于5名且为单数，院领导为考核小组组长。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宋体" w:cs="宋体"/>
          <w:b/>
          <w:bCs/>
          <w:kern w:val="2"/>
          <w:szCs w:val="32"/>
        </w:rPr>
        <w:t xml:space="preserve">第四条 </w:t>
      </w:r>
      <w:r>
        <w:rPr>
          <w:rFonts w:hint="eastAsia" w:ascii="仿宋_GB2312" w:hAnsi="仿宋" w:cs="仿宋"/>
          <w:kern w:val="2"/>
          <w:szCs w:val="32"/>
        </w:rPr>
        <w:t>管理人的考核，以个案考核的方式进行，主要针对案件整体流程及各个节点，考核管理人案件办理中事务工作开展的具体情况，考核分值根据各个流程以及具体内容进行量化。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>第五条</w:t>
      </w:r>
      <w:r>
        <w:rPr>
          <w:rFonts w:hint="eastAsia" w:ascii="仿宋_GB2312" w:hAnsi="仿宋" w:cs="仿宋"/>
          <w:kern w:val="2"/>
          <w:szCs w:val="32"/>
        </w:rPr>
        <w:t xml:space="preserve"> 个案考核由个案实时考核和个案综合评价两部分组成。</w:t>
      </w:r>
    </w:p>
    <w:p>
      <w:pPr>
        <w:spacing w:line="560" w:lineRule="exact"/>
        <w:ind w:firstLine="634" w:firstLineChars="200"/>
        <w:rPr>
          <w:rFonts w:ascii="仿宋_GB2312" w:hAnsi="仿宋" w:cs="仿宋"/>
          <w:color w:val="FF0000"/>
          <w:kern w:val="2"/>
          <w:szCs w:val="32"/>
        </w:rPr>
      </w:pPr>
      <w:r>
        <w:rPr>
          <w:rFonts w:hint="eastAsia" w:ascii="仿宋_GB2312" w:hAnsi="宋体" w:cs="宋体"/>
          <w:b/>
          <w:bCs/>
          <w:kern w:val="2"/>
          <w:szCs w:val="32"/>
        </w:rPr>
        <w:t xml:space="preserve">第六条 </w:t>
      </w:r>
      <w:r>
        <w:rPr>
          <w:rFonts w:hint="eastAsia" w:ascii="仿宋_GB2312" w:hAnsi="仿宋" w:cs="仿宋"/>
          <w:kern w:val="2"/>
          <w:szCs w:val="32"/>
        </w:rPr>
        <w:t>个案考核按100分计，其中个案实时考核80分，个案综合评价20分。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 xml:space="preserve">第七条 </w:t>
      </w:r>
      <w:r>
        <w:rPr>
          <w:rFonts w:hint="eastAsia" w:ascii="仿宋_GB2312" w:hAnsi="仿宋" w:cs="仿宋"/>
          <w:kern w:val="2"/>
          <w:szCs w:val="32"/>
        </w:rPr>
        <w:t>个案实时考核，是指案件承办人在办理具体破产案件的过程中，依照《企业破产案件个案实时考核清单》（附件2），根据管理人的履职情况进行打分，相应分值为个案实时考核分值。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>第八条</w:t>
      </w:r>
      <w:r>
        <w:rPr>
          <w:rFonts w:hint="eastAsia" w:ascii="仿宋_GB2312" w:hAnsi="仿宋" w:cs="仿宋"/>
          <w:kern w:val="2"/>
          <w:szCs w:val="32"/>
        </w:rPr>
        <w:t xml:space="preserve"> 个案综合评价，是指案件承办人在破产案件办结后，依照《企业破产案件个案综合评价清单》（附件3），根据管理人办理案件的质量、效率和效果等进行打分，相应分值为个案综合评价分值。 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>第九条</w:t>
      </w:r>
      <w:r>
        <w:rPr>
          <w:rFonts w:hint="eastAsia" w:ascii="仿宋_GB2312" w:hAnsi="仿宋" w:cs="仿宋"/>
          <w:kern w:val="2"/>
          <w:szCs w:val="32"/>
        </w:rPr>
        <w:t xml:space="preserve"> 案件承办人根据两份清单进行初评，由合议庭复核后（如为独任审理，则无需合议庭复核），报考核小组审定。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>第十条</w:t>
      </w:r>
      <w:r>
        <w:rPr>
          <w:rFonts w:hint="eastAsia" w:ascii="仿宋_GB2312" w:hAnsi="仿宋" w:cs="仿宋"/>
          <w:kern w:val="2"/>
          <w:szCs w:val="32"/>
        </w:rPr>
        <w:t xml:space="preserve"> 管理人的个案考核应在案件审结后30日内完成，最迟在下年度1月底前完成上年度已办结破产案件的个案考核，未办结破产案件不进行个案考核。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个案考核完成后，案件承办人将结果通报管理人，管理人如有异议，在五个工作日内书面提出，异议成立，本院对结果予以更正。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 xml:space="preserve">第十一条 </w:t>
      </w:r>
      <w:r>
        <w:rPr>
          <w:rFonts w:hint="eastAsia" w:ascii="仿宋_GB2312" w:hAnsi="仿宋" w:cs="仿宋"/>
          <w:kern w:val="2"/>
          <w:szCs w:val="32"/>
        </w:rPr>
        <w:t>管理人考核等级分为优秀、良好、合格和不合格：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（一）个案考核得分在90分以上（含本数），该年度考核等级为优秀；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（二）个案考核得分在80分以上（含本数）、90分以下，该年度考核等级为良好；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（三）个案考核得分在60分以上（含本数）、80分以下，该年度考核等级为合格；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（四）个案考核得分未到达60分，该年度考核等级为不合格。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b/>
          <w:kern w:val="2"/>
          <w:szCs w:val="32"/>
        </w:rPr>
        <w:t>第十二条</w:t>
      </w:r>
      <w:r>
        <w:rPr>
          <w:rFonts w:hint="eastAsia" w:ascii="仿宋_GB2312" w:hAnsi="仿宋" w:cs="仿宋"/>
          <w:kern w:val="2"/>
          <w:szCs w:val="32"/>
        </w:rPr>
        <w:t xml:space="preserve"> 考核小组应在下年度的2月底前公布上年度管理人的个案考核分数及等级，本院将考核结果向上一级法院汇报，并通报管理人协会。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管理人考核结果作为本院选任管理人的参考依据。</w:t>
      </w:r>
    </w:p>
    <w:p>
      <w:pPr>
        <w:spacing w:line="560" w:lineRule="exact"/>
        <w:ind w:firstLine="634" w:firstLineChars="200"/>
        <w:rPr>
          <w:rFonts w:ascii="仿宋_GB2312" w:hAnsi="仿宋" w:cs="仿宋"/>
          <w:b/>
          <w:kern w:val="2"/>
          <w:szCs w:val="32"/>
        </w:rPr>
      </w:pPr>
      <w:r>
        <w:rPr>
          <w:rFonts w:hint="eastAsia" w:ascii="仿宋_GB2312" w:hAnsi="仿宋" w:cs="仿宋"/>
          <w:b/>
          <w:bCs/>
          <w:kern w:val="2"/>
          <w:szCs w:val="32"/>
        </w:rPr>
        <w:t xml:space="preserve">第十三条 </w:t>
      </w:r>
      <w:r>
        <w:rPr>
          <w:rFonts w:hint="eastAsia" w:ascii="仿宋_GB2312" w:hAnsi="仿宋" w:cs="仿宋"/>
          <w:bCs/>
          <w:kern w:val="2"/>
          <w:szCs w:val="32"/>
        </w:rPr>
        <w:t>本办法没有规定或与其他法律、法规、司法解释相冲突的，应当适用《中华人民共和国企业破产法》及其他法律、法规、司法解释的规定。</w:t>
      </w:r>
    </w:p>
    <w:p>
      <w:pPr>
        <w:spacing w:line="560" w:lineRule="exact"/>
        <w:ind w:firstLine="634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宋体" w:cs="宋体"/>
          <w:b/>
          <w:bCs/>
          <w:kern w:val="2"/>
          <w:szCs w:val="32"/>
        </w:rPr>
        <w:t xml:space="preserve">第十四条 </w:t>
      </w:r>
      <w:r>
        <w:rPr>
          <w:rFonts w:hint="eastAsia" w:ascii="仿宋_GB2312" w:hAnsi="仿宋" w:cs="仿宋"/>
          <w:kern w:val="2"/>
          <w:szCs w:val="32"/>
        </w:rPr>
        <w:t>本办法自公布之日起施行。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 xml:space="preserve">                      青岛市黄岛区人民法院</w:t>
      </w:r>
    </w:p>
    <w:p>
      <w:pPr>
        <w:spacing w:line="560" w:lineRule="exact"/>
        <w:ind w:firstLine="632" w:firstLineChars="200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 xml:space="preserve">                        2021年10月23日</w:t>
      </w: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>附件1：</w:t>
      </w:r>
    </w:p>
    <w:p>
      <w:pPr>
        <w:spacing w:line="560" w:lineRule="exact"/>
        <w:jc w:val="left"/>
        <w:rPr>
          <w:rFonts w:ascii="仿宋_GB2312" w:hAnsi="宋体" w:cs="宋体"/>
          <w:bCs/>
          <w:kern w:val="2"/>
          <w:szCs w:val="32"/>
        </w:rPr>
      </w:pPr>
    </w:p>
    <w:p>
      <w:pPr>
        <w:spacing w:line="560" w:lineRule="exact"/>
        <w:jc w:val="center"/>
        <w:rPr>
          <w:rFonts w:ascii="方正小标宋_GBK" w:hAnsi="宋体" w:eastAsia="方正小标宋_GBK" w:cs="宋体"/>
          <w:bCs/>
          <w:kern w:val="2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2"/>
          <w:sz w:val="44"/>
          <w:szCs w:val="44"/>
        </w:rPr>
        <w:t>管理人考核小组成员名单</w:t>
      </w:r>
    </w:p>
    <w:p>
      <w:pPr>
        <w:spacing w:line="560" w:lineRule="exact"/>
        <w:jc w:val="left"/>
        <w:rPr>
          <w:rFonts w:ascii="仿宋_GB2312" w:hAnsi="宋体" w:cs="宋体"/>
          <w:bCs/>
          <w:kern w:val="2"/>
          <w:szCs w:val="32"/>
        </w:rPr>
      </w:pPr>
    </w:p>
    <w:p>
      <w:pPr>
        <w:spacing w:line="560" w:lineRule="exact"/>
        <w:ind w:firstLine="632" w:firstLineChars="200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 xml:space="preserve">组  长：李德海  区法院党组副书记、副院长 </w:t>
      </w:r>
    </w:p>
    <w:p>
      <w:pPr>
        <w:spacing w:line="560" w:lineRule="exact"/>
        <w:ind w:firstLine="632" w:firstLineChars="200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>副组长：陈  晓  区法院党组成员、审判委员会专职委员</w:t>
      </w:r>
    </w:p>
    <w:p>
      <w:pPr>
        <w:spacing w:line="560" w:lineRule="exact"/>
        <w:ind w:firstLine="632" w:firstLineChars="200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 xml:space="preserve">成  员：刘  凯  区法院民二庭负责人 </w:t>
      </w:r>
    </w:p>
    <w:p>
      <w:pPr>
        <w:spacing w:line="560" w:lineRule="exact"/>
        <w:ind w:firstLine="1882" w:firstLineChars="596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>郭守伟  区法院司法技术委托中心主任</w:t>
      </w:r>
    </w:p>
    <w:p>
      <w:pPr>
        <w:spacing w:line="560" w:lineRule="exact"/>
        <w:ind w:firstLine="1882" w:firstLineChars="596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>神维东  区法院民二庭副庭长</w:t>
      </w:r>
    </w:p>
    <w:p>
      <w:pPr>
        <w:spacing w:line="560" w:lineRule="exact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 xml:space="preserve">            刘圆圆  区法院民二庭副庭长</w:t>
      </w:r>
    </w:p>
    <w:p>
      <w:pPr>
        <w:spacing w:line="560" w:lineRule="exact"/>
        <w:jc w:val="left"/>
        <w:rPr>
          <w:rFonts w:ascii="仿宋_GB2312" w:hAnsi="宋体" w:cs="宋体"/>
          <w:bCs/>
          <w:kern w:val="2"/>
          <w:szCs w:val="32"/>
        </w:rPr>
      </w:pPr>
      <w:r>
        <w:rPr>
          <w:rFonts w:hint="eastAsia" w:ascii="仿宋_GB2312" w:hAnsi="宋体" w:cs="宋体"/>
          <w:bCs/>
          <w:kern w:val="2"/>
          <w:szCs w:val="32"/>
        </w:rPr>
        <w:t xml:space="preserve">            张  鹏  区法院民二庭员额法官</w:t>
      </w:r>
    </w:p>
    <w:p>
      <w:pPr>
        <w:spacing w:line="560" w:lineRule="exact"/>
        <w:jc w:val="left"/>
        <w:rPr>
          <w:rFonts w:ascii="仿宋_GB2312" w:hAnsi="宋体" w:cs="宋体"/>
          <w:b/>
          <w:bCs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  <w:bookmarkStart w:id="0" w:name="_GoBack"/>
      <w:bookmarkEnd w:id="0"/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  <w:r>
        <w:rPr>
          <w:rFonts w:hint="eastAsia" w:ascii="仿宋_GB2312" w:hAnsi="黑体" w:cs="黑体"/>
          <w:kern w:val="2"/>
          <w:szCs w:val="32"/>
        </w:rPr>
        <w:t>附件2：</w:t>
      </w:r>
    </w:p>
    <w:p>
      <w:pPr>
        <w:spacing w:line="560" w:lineRule="exact"/>
        <w:jc w:val="center"/>
        <w:rPr>
          <w:rFonts w:ascii="方正小标宋_GBK" w:hAnsi="黑体" w:eastAsia="方正小标宋_GBK" w:cs="黑体"/>
          <w:kern w:val="2"/>
          <w:sz w:val="44"/>
          <w:szCs w:val="44"/>
        </w:rPr>
      </w:pPr>
      <w:r>
        <w:rPr>
          <w:rFonts w:hint="eastAsia" w:ascii="方正小标宋_GBK" w:hAnsi="黑体" w:eastAsia="方正小标宋_GBK" w:cs="黑体"/>
          <w:kern w:val="2"/>
          <w:sz w:val="44"/>
          <w:szCs w:val="44"/>
        </w:rPr>
        <w:t>破产案件个案实时考核清单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909"/>
        <w:gridCol w:w="885"/>
        <w:gridCol w:w="4125"/>
        <w:gridCol w:w="1365"/>
        <w:gridCol w:w="1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5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破产案件个案实时考核清单</w:t>
            </w:r>
          </w:p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（20 ）鲁0211破   号</w:t>
            </w:r>
          </w:p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管理人：                              承办人：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序号</w:t>
            </w:r>
          </w:p>
        </w:tc>
        <w:tc>
          <w:tcPr>
            <w:tcW w:w="88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事项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评分标准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分值标准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团队组建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收到指定管理人决定书五个工作日内，无正当理由未向法院备案管理人工作团队组建情况的。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管理人成员有未取得法律或会计执业资格的人员，发现一名成员扣1分，工作人员除外。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管理人团队中主要工作人员发生变化但未及时书面告知法院的。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4</w:t>
            </w:r>
          </w:p>
        </w:tc>
        <w:tc>
          <w:tcPr>
            <w:tcW w:w="88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制度管理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无正当理由，规章制度不完备的，一项制度扣一分。管理人规章制度应包括：管理工作规程、会议议事规则、财务收支管理制度、证照和印章管理制度、档案管理制度、保密制度等。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88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印章管理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接受指定后未及时刻制管理人印章，未交法院封样备案。管理人印章及接管的企业印章均没有专人保管，未设置印章使用登记记录。终止职务后，无正当理由未将管理人印章销毁证明报法院备案的。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6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财务管理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接受指定后未及时在银行开立管理人账户，没有专人管理。无正当理由，债务人的存款、债务人财产变价款等款项未统一划入管理人账户进行管理的。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7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大额支出未经法院审核批准的。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8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差旅费用未严格控制在报备的团队组成人员合理范围内，或破产费用支出无明显依据，根据金额大小，每笔扣1-3分。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9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将破产费用挪用于其他事项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10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接管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管理人接受指定后30日内，无正当理由未完成对债务人资产、印章和账薄、文书等资料全面接管的。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11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接管时未进行清点，未制作交接清单、接管笔录，无交接各方签宇确认。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12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无正当理由造成债务人资产流失等重大后果。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13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未及时代表债务人参与已经开始的诉讼、仲裁、执行程序，造成不良后果的。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14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常规调查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未对债务人情况进行全面调查的，无正当理由未及时向法院提交调查报告。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15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未制作调查笔录或调查工作记录，工作笔录或记录上无相关人员签宇确认的。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16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无正当理由在第一次债权人会议之前未完成调查工作的。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17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未编制公司债权、债务和财产清册，未根据需要对债务人财务账册进行审计并出具审计结论的，对于无法审计或没必要审计的除外。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18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财产管理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无正当理由未制作财产管理方案提交债权人会议审查的。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19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经报告法院即实施：涉及土地、房屋等不动产权益的转让；探矿权、采矿权、知识产权等财产权的转让；全部库存或者营业、经营权的转让；借款；设定财产担保；债权和有价证券的转让；履行债务人和对方当事人均未履行完毕的合同；放弃权利；担保物的取回；对债权人利益有重大影响等其他重大权益处分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10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20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财产追收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未及时向债务人的债务人或财产持有人发出通知的。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21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对涉及债务人的诉讼，在诉讼活动中出现失误，出现重大不良后果的。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22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债权审核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未能及时制定债权审核原则并统一审核标准。未根据债权性质、清偿顺序对申报债权进行分类登记造册的。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23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未及时对申报的债权性质进行审查，导致案件相关权利人权益受损的。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24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第一次债权人会议前未及时提请法院临时确定未决债权额，对当事人权益造成不良影响的。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25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债权人会议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未按法院要求积极协助筹备第一次债权人会议，未及时提交一债会相关资料，导致出现债权人会议质量不高、债权人会议延期等情形。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26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债权人会议结束5个工作日内，无正当理由未将债权人会议的到会情况、表决情况、会议纪要及决议结果书面报告法院的。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502" w:hRule="atLeast"/>
        </w:trPr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27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变价与分配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未及时对债务人财产进行评估或拍卖，造成不良后果的。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28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制定的分配方案明显存在瑕疵的。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612" w:hRule="atLeast"/>
        </w:trPr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29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未严格按照债权人会议通过的分配方案分配破产财产的。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30</w:t>
            </w:r>
          </w:p>
        </w:tc>
        <w:tc>
          <w:tcPr>
            <w:tcW w:w="88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终结程序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在破产程序终结之日起十日内，未向法院汇报相关注销情况的。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31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其他</w:t>
            </w: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未全面使用破产管理平台的。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32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无客观正当理由，案件超过18个月未结的。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09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33</w:t>
            </w:r>
          </w:p>
        </w:tc>
        <w:tc>
          <w:tcPr>
            <w:tcW w:w="885" w:type="dxa"/>
            <w:vMerge w:val="continue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  <w:tc>
          <w:tcPr>
            <w:tcW w:w="4125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未妥善保管债务人印章和账簿、文书等材料，在案件终结前出现销毁或者遗失的。</w:t>
            </w:r>
          </w:p>
        </w:tc>
        <w:tc>
          <w:tcPr>
            <w:tcW w:w="1365" w:type="dxa"/>
            <w:vAlign w:val="top"/>
          </w:tcPr>
          <w:p>
            <w:pPr>
              <w:spacing w:line="40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1238" w:type="dxa"/>
            <w:vAlign w:val="top"/>
          </w:tcPr>
          <w:p>
            <w:pPr>
              <w:spacing w:line="40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楷体" w:hAnsi="楷体" w:eastAsia="楷体" w:cs="仿宋"/>
          <w:bCs/>
          <w:kern w:val="2"/>
          <w:szCs w:val="32"/>
        </w:rPr>
      </w:pPr>
      <w:r>
        <w:rPr>
          <w:rFonts w:hint="eastAsia" w:ascii="楷体" w:hAnsi="楷体" w:eastAsia="楷体" w:cs="仿宋"/>
          <w:bCs/>
          <w:kern w:val="2"/>
          <w:szCs w:val="32"/>
        </w:rPr>
        <w:t>注：共计80分，各个事项无负面内容，则取得相应分值，有负面内容，结合严重程度酌情打分，全部事项累计分值为个案实时考核分值。</w:t>
      </w:r>
    </w:p>
    <w:p>
      <w:pPr>
        <w:spacing w:line="560" w:lineRule="exact"/>
        <w:jc w:val="left"/>
        <w:rPr>
          <w:rFonts w:ascii="仿宋_GB2312" w:hAnsi="仿宋" w:cs="仿宋"/>
          <w:kern w:val="2"/>
          <w:szCs w:val="32"/>
        </w:rPr>
      </w:pPr>
    </w:p>
    <w:p>
      <w:pPr>
        <w:spacing w:line="560" w:lineRule="exact"/>
        <w:jc w:val="left"/>
        <w:rPr>
          <w:rFonts w:ascii="仿宋_GB2312" w:hAnsi="黑体" w:cs="黑体"/>
          <w:kern w:val="2"/>
          <w:szCs w:val="32"/>
        </w:rPr>
      </w:pPr>
      <w:r>
        <w:rPr>
          <w:rFonts w:hint="eastAsia" w:ascii="仿宋_GB2312" w:hAnsi="黑体" w:cs="黑体"/>
          <w:kern w:val="2"/>
          <w:szCs w:val="32"/>
        </w:rPr>
        <w:t>附件3：</w:t>
      </w:r>
    </w:p>
    <w:p>
      <w:pPr>
        <w:spacing w:line="560" w:lineRule="exact"/>
        <w:jc w:val="center"/>
        <w:rPr>
          <w:rFonts w:ascii="方正小标宋_GBK" w:hAnsi="仿宋" w:eastAsia="方正小标宋_GBK" w:cs="仿宋"/>
          <w:kern w:val="2"/>
          <w:sz w:val="44"/>
          <w:szCs w:val="44"/>
        </w:rPr>
      </w:pPr>
      <w:r>
        <w:rPr>
          <w:rFonts w:hint="eastAsia" w:ascii="方正小标宋_GBK" w:hAnsi="黑体" w:eastAsia="方正小标宋_GBK" w:cs="黑体"/>
          <w:kern w:val="2"/>
          <w:sz w:val="44"/>
          <w:szCs w:val="44"/>
        </w:rPr>
        <w:t>破产案件个案综合评价清单</w:t>
      </w:r>
    </w:p>
    <w:tbl>
      <w:tblPr>
        <w:tblW w:w="8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74"/>
        <w:gridCol w:w="3825"/>
        <w:gridCol w:w="149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19" w:type="dxa"/>
            <w:gridSpan w:val="4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破产案件个案综合评价清单</w:t>
            </w:r>
          </w:p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（20 ）鲁0211破   号</w:t>
            </w:r>
          </w:p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 xml:space="preserve">管理人：                               承办人：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序号</w:t>
            </w:r>
          </w:p>
        </w:tc>
        <w:tc>
          <w:tcPr>
            <w:tcW w:w="3825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事项具体内容及评分标准</w:t>
            </w: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分值标准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扣分及理由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1</w:t>
            </w:r>
          </w:p>
        </w:tc>
        <w:tc>
          <w:tcPr>
            <w:tcW w:w="3825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应严格依法开展破产工作，能够完全按照法律规定的程序完成案件涉及的各项工作。若出现程序错误、节点超期等情形的，视案件办理具体情况扣分。</w:t>
            </w: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3825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应自觉接受人民法院和债权人会议等的监督，对于案件重大工作事项及时报告、请示。未按规定办理的，视具体情况扣分。</w:t>
            </w: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3825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资产调查工作应准确到位，材料扎实，能准确采取措施，妥善保管资产，处置方案合理可行。未做好资产清理工作的，视具体情况扣分。</w:t>
            </w: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4</w:t>
            </w:r>
          </w:p>
        </w:tc>
        <w:tc>
          <w:tcPr>
            <w:tcW w:w="3825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对案涉法律关系应准确把握，能准确援引法律、参考判例对具体纠纷、问题作出正确处理。未正确适用法律的，视具体情况扣分。</w:t>
            </w: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2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5</w:t>
            </w:r>
          </w:p>
        </w:tc>
        <w:tc>
          <w:tcPr>
            <w:tcW w:w="3825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应积极维护利害关系人权益，能妥善应对群体性事件，化解社会矛盾，能正确行使诉讼权利，妥善处理重大、敏感的破产衍生诉讼案件。维稳工作不到位的，视案件具体情况扣分。</w:t>
            </w: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074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6</w:t>
            </w:r>
          </w:p>
        </w:tc>
        <w:tc>
          <w:tcPr>
            <w:tcW w:w="3825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应遵守法律、执业纪律及职业道德，合理支出破产费用，合理收取相关费用，禁止利用管理人身份为自己和他人谋取非法利益。有违反职业道德行为的，视案件具体情况扣分。</w:t>
            </w:r>
          </w:p>
        </w:tc>
        <w:tc>
          <w:tcPr>
            <w:tcW w:w="1490" w:type="dxa"/>
            <w:vAlign w:val="top"/>
          </w:tcPr>
          <w:p>
            <w:pPr>
              <w:spacing w:line="560" w:lineRule="exact"/>
              <w:jc w:val="center"/>
              <w:rPr>
                <w:rFonts w:ascii="仿宋_GB2312" w:hAnsi="仿宋" w:cs="仿宋"/>
                <w:kern w:val="2"/>
                <w:sz w:val="28"/>
                <w:szCs w:val="28"/>
              </w:rPr>
            </w:pPr>
            <w:r>
              <w:rPr>
                <w:rFonts w:hint="eastAsia" w:ascii="仿宋_GB2312" w:hAnsi="仿宋" w:cs="仿宋"/>
                <w:kern w:val="2"/>
                <w:sz w:val="28"/>
                <w:szCs w:val="28"/>
              </w:rPr>
              <w:t>3</w:t>
            </w:r>
          </w:p>
        </w:tc>
        <w:tc>
          <w:tcPr>
            <w:tcW w:w="2130" w:type="dxa"/>
            <w:vAlign w:val="top"/>
          </w:tcPr>
          <w:p>
            <w:pPr>
              <w:spacing w:line="560" w:lineRule="exact"/>
              <w:jc w:val="left"/>
              <w:rPr>
                <w:rFonts w:ascii="仿宋_GB2312" w:hAnsi="仿宋" w:cs="仿宋"/>
                <w:kern w:val="2"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楷体" w:hAnsi="楷体" w:eastAsia="楷体" w:cs="仿宋"/>
          <w:bCs/>
          <w:kern w:val="2"/>
          <w:szCs w:val="32"/>
        </w:rPr>
      </w:pPr>
      <w:r>
        <w:rPr>
          <w:rFonts w:hint="eastAsia" w:ascii="楷体" w:hAnsi="楷体" w:eastAsia="楷体" w:cs="仿宋"/>
          <w:bCs/>
          <w:kern w:val="2"/>
          <w:szCs w:val="32"/>
        </w:rPr>
        <w:t>注：共计20分，各个事项无负面内容，则取得相应分值，有负面内容，结合严重程度酌情打分，全部事项累计分值为个案综合评价分值。</w:t>
      </w: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jc w:val="left"/>
        <w:rPr>
          <w:rFonts w:ascii="仿宋_GB2312" w:hAnsi="仿宋" w:cs="仿宋"/>
          <w:kern w:val="2"/>
          <w:szCs w:val="32"/>
        </w:rPr>
      </w:pPr>
      <w:r>
        <w:rPr>
          <w:rFonts w:hint="eastAsia" w:ascii="仿宋_GB2312" w:hAnsi="仿宋" w:cs="仿宋"/>
          <w:kern w:val="2"/>
          <w:szCs w:val="32"/>
        </w:rPr>
        <w:t>(此页无正文)</w:t>
      </w: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rPr>
          <w:rFonts w:ascii="仿宋_GB2312" w:hAnsi="宋体" w:eastAsia="宋体" w:cs="黑体"/>
          <w:kern w:val="2"/>
          <w:sz w:val="21"/>
          <w:szCs w:val="32"/>
        </w:rPr>
      </w:pPr>
    </w:p>
    <w:p>
      <w:pPr>
        <w:spacing w:line="560" w:lineRule="exact"/>
        <w:ind w:firstLine="138" w:firstLineChars="50"/>
        <w:jc w:val="left"/>
        <w:rPr>
          <w:rFonts w:ascii="仿宋_GB2312" w:hAnsi="仿宋_GB2312" w:cs="仿宋_GB2312"/>
          <w:kern w:val="2"/>
          <w:szCs w:val="32"/>
        </w:rPr>
      </w:pPr>
      <w:r>
        <w:rPr>
          <w:rFonts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pict>
          <v:line id="Line 4" o:spid="_x0000_s1027" style="position:absolute;left:0;flip:y;margin-left:0.05pt;margin-top:32.7pt;height:0.4pt;width:412.05pt;mso-position-vertical-relative:line;rotation:0f;z-index:251660288;" o:ole="f" fillcolor="#FFFFFF" filled="f" o:preferrelative="t" stroked="t" coordsize="21600,21600">
            <v:fill on="f" color2="#FFFFFF" focus="0%"/>
            <v:stroke weight="1.25pt" color="#000000" color2="#FFFFFF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仿宋_GB2312" w:hAnsi="仿宋_GB2312" w:eastAsia="仿宋_GB2312" w:cs="仿宋_GB2312"/>
          <w:kern w:val="2"/>
          <w:sz w:val="28"/>
          <w:szCs w:val="28"/>
          <w:lang w:val="en-US" w:eastAsia="zh-CN" w:bidi="ar-SA"/>
        </w:rPr>
        <w:pict>
          <v:line id="Line 3" o:spid="_x0000_s1028" style="position:absolute;left:0;margin-left:0.1pt;margin-top:4.15pt;height:1.55pt;width:414.25pt;rotation:0f;z-index:251659264;" o:ole="f" fillcolor="#FFFFFF" filled="f" o:preferrelative="t" stroked="t" coordsize="21600,21600">
            <v:fill on="f" color2="#FFFFFF" focus="0%"/>
            <v:stroke weight="1.25pt" color="#000000" color2="#FFFFFF" joinstyle="round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仿宋_GB2312" w:hAnsi="仿宋_GB2312" w:cs="仿宋_GB2312"/>
          <w:kern w:val="2"/>
          <w:sz w:val="28"/>
          <w:szCs w:val="28"/>
        </w:rPr>
        <w:t xml:space="preserve"> 青岛市黄岛区人民法院                2021年10月23日发</w:t>
      </w:r>
    </w:p>
    <w:sectPr>
      <w:footerReference r:id="rId4" w:type="default"/>
      <w:footerReference r:id="rId5" w:type="even"/>
      <w:pgSz w:w="11906" w:h="16838"/>
      <w:pgMar w:top="2098" w:right="1474" w:bottom="1985" w:left="1588" w:header="851" w:footer="1724" w:gutter="0"/>
      <w:cols w:space="720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="1251" w:wrap="around" w:hAnchor="page" w:vAnchor="text" w:x="9116" w:y="4"/>
      <w:rPr>
        <w:rStyle w:val="8"/>
        <w:rFonts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Style w:val="8"/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Style w:val="8"/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3</w:t>
    </w:r>
    <w:r>
      <w:rPr>
        <w:rStyle w:val="8"/>
        <w:rFonts w:ascii="宋体" w:hAnsi="宋体" w:eastAsia="宋体"/>
        <w:sz w:val="28"/>
      </w:rPr>
      <w:fldChar w:fldCharType="end"/>
    </w:r>
    <w:r>
      <w:rPr>
        <w:rStyle w:val="8"/>
        <w:rFonts w:hint="eastAsia"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framePr w:wrap="around" w:hAnchor="margin" w:vAnchor="text" w:xAlign="outside" w:y="1"/>
      <w:ind w:firstLine="280" w:firstLineChars="100"/>
      <w:rPr>
        <w:rStyle w:val="8"/>
        <w:rFonts w:ascii="宋体" w:hAnsi="宋体" w:eastAsia="宋体"/>
        <w:sz w:val="28"/>
      </w:rPr>
    </w:pPr>
    <w:r>
      <w:rPr>
        <w:rStyle w:val="8"/>
        <w:rFonts w:hint="eastAsia" w:ascii="宋体" w:hAnsi="宋体" w:eastAsia="宋体"/>
        <w:sz w:val="28"/>
      </w:rPr>
      <w:t xml:space="preserve">— </w:t>
    </w:r>
    <w:r>
      <w:rPr>
        <w:rStyle w:val="8"/>
        <w:rFonts w:ascii="宋体" w:hAnsi="宋体" w:eastAsia="宋体"/>
        <w:sz w:val="28"/>
      </w:rPr>
      <w:fldChar w:fldCharType="begin"/>
    </w:r>
    <w:r>
      <w:rPr>
        <w:rStyle w:val="8"/>
        <w:rFonts w:ascii="宋体" w:hAnsi="宋体" w:eastAsia="宋体"/>
        <w:sz w:val="28"/>
      </w:rPr>
      <w:instrText xml:space="preserve">PAGE  </w:instrText>
    </w:r>
    <w:r>
      <w:rPr>
        <w:rStyle w:val="8"/>
        <w:rFonts w:ascii="宋体" w:hAnsi="宋体" w:eastAsia="宋体"/>
        <w:sz w:val="28"/>
      </w:rPr>
      <w:fldChar w:fldCharType="separate"/>
    </w:r>
    <w:r>
      <w:rPr>
        <w:rStyle w:val="8"/>
        <w:rFonts w:ascii="宋体" w:hAnsi="宋体" w:eastAsia="宋体"/>
        <w:sz w:val="28"/>
      </w:rPr>
      <w:t>1</w:t>
    </w:r>
    <w:r>
      <w:rPr>
        <w:rStyle w:val="8"/>
        <w:rFonts w:ascii="宋体" w:hAnsi="宋体" w:eastAsia="宋体"/>
        <w:sz w:val="28"/>
      </w:rPr>
      <w:fldChar w:fldCharType="end"/>
    </w:r>
    <w:r>
      <w:rPr>
        <w:rStyle w:val="8"/>
        <w:rFonts w:hint="eastAsia"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2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99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paragraph" w:styleId="2">
    <w:name w:val="Body Text"/>
    <w:basedOn w:val="1"/>
    <w:link w:val="13"/>
    <w:uiPriority w:val="0"/>
    <w:pPr>
      <w:spacing w:after="120"/>
    </w:pPr>
    <w:rPr>
      <w:kern w:val="2"/>
    </w:rPr>
  </w:style>
  <w:style w:type="paragraph" w:styleId="3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  <w:rPr/>
  </w:style>
  <w:style w:type="character" w:customStyle="1" w:styleId="9">
    <w:name w:val="页脚 Char"/>
    <w:link w:val="5"/>
    <w:uiPriority w:val="0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0">
    <w:name w:val="页眉 Char"/>
    <w:link w:val="6"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1">
    <w:name w:val="日期 Char"/>
    <w:link w:val="3"/>
    <w:semiHidden/>
    <w:uiPriority w:val="99"/>
    <w:rPr>
      <w:rFonts w:ascii="Times New Roman" w:hAnsi="Times New Roman" w:eastAsia="仿宋_GB2312" w:cs="Times New Roman"/>
      <w:kern w:val="0"/>
      <w:sz w:val="32"/>
      <w:szCs w:val="24"/>
    </w:rPr>
  </w:style>
  <w:style w:type="character" w:customStyle="1" w:styleId="12">
    <w:name w:val="批注框文本 Char"/>
    <w:link w:val="4"/>
    <w:semiHidden/>
    <w:uiPriority w:val="99"/>
    <w:rPr>
      <w:rFonts w:ascii="Times New Roman" w:hAnsi="Times New Roman" w:eastAsia="仿宋_GB2312" w:cs="Times New Roman"/>
      <w:kern w:val="0"/>
      <w:sz w:val="18"/>
      <w:szCs w:val="18"/>
    </w:rPr>
  </w:style>
  <w:style w:type="character" w:customStyle="1" w:styleId="13">
    <w:name w:val="正文文本 Char"/>
    <w:link w:val="2"/>
    <w:uiPriority w:val="0"/>
    <w:rPr>
      <w:rFonts w:eastAsia="仿宋_GB2312"/>
      <w:kern w:val="2"/>
      <w:sz w:val="32"/>
      <w:szCs w:val="24"/>
    </w:rPr>
  </w:style>
  <w:style w:type="character" w:customStyle="1" w:styleId="14">
    <w:name w:val="正文文本 Char1"/>
    <w:semiHidden/>
    <w:uiPriority w:val="0"/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609</Words>
  <Characters>3472</Characters>
  <Lines>28</Lines>
  <Paragraphs>8</Paragraphs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2021-10-28T06:10:00Z</dcterms:created>
  <dc:creator>彭震</dc:creator>
  <cp:lastModifiedBy>Administrator</cp:lastModifiedBy>
  <cp:lastPrinted>2021-10-25T06:45:00Z</cp:lastPrinted>
  <dcterms:modified xsi:type="dcterms:W3CDTF">2021-10-28T06:12:42Z</dcterms:modified>
  <dc:title>青岛市黄岛区人民法院文件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